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 Sans" w:cs="Nunito Sans" w:eastAsia="Nunito Sans" w:hAnsi="Nunito Sans"/>
          <w:b w:val="1"/>
          <w:sz w:val="32"/>
          <w:szCs w:val="32"/>
          <w:shd w:fill="fe2b8f" w:val="clear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rtl w:val="0"/>
        </w:rPr>
        <w:t xml:space="preserve">Edite as informações </w:t>
      </w: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shd w:fill="fe2b8f" w:val="clear"/>
          <w:rtl w:val="0"/>
        </w:rPr>
        <w:t xml:space="preserve">destacadas</w:t>
      </w: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Nunito Sans" w:cs="Nunito Sans" w:eastAsia="Nunito Sans" w:hAnsi="Nunito Sans"/>
          <w:b w:val="1"/>
          <w:sz w:val="32"/>
          <w:szCs w:val="32"/>
          <w:rtl w:val="0"/>
        </w:rPr>
        <w:t xml:space="preserve"> VIAGENS - </w:t>
      </w:r>
      <w:r w:rsidDel="00000000" w:rsidR="00000000" w:rsidRPr="00000000">
        <w:rPr>
          <w:rFonts w:ascii="Nunito Sans" w:cs="Nunito Sans" w:eastAsia="Nunito Sans" w:hAnsi="Nunito Sans"/>
          <w:b w:val="1"/>
          <w:sz w:val="32"/>
          <w:szCs w:val="32"/>
          <w:shd w:fill="fe2b8f" w:val="clear"/>
          <w:rtl w:val="0"/>
        </w:rPr>
        <w:t xml:space="preserve">(NOME DA EMPRESA)</w:t>
      </w:r>
    </w:p>
    <w:p w:rsidR="00000000" w:rsidDel="00000000" w:rsidP="00000000" w:rsidRDefault="00000000" w:rsidRPr="00000000" w14:paraId="00000003">
      <w:pPr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Definir os aspectos e limites que envolvam as despesas de viagens realizadas pelos colaboradores e terceiros que prestam serviços representando a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(NOME DA EMPRESA)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ÁREA(S) TUTORA(S):</w:t>
      </w:r>
    </w:p>
    <w:p w:rsidR="00000000" w:rsidDel="00000000" w:rsidP="00000000" w:rsidRDefault="00000000" w:rsidRPr="00000000" w14:paraId="00000007">
      <w:pPr>
        <w:jc w:val="both"/>
        <w:rPr>
          <w:rFonts w:ascii="Nunito Sans" w:cs="Nunito Sans" w:eastAsia="Nunito Sans" w:hAnsi="Nunito Sans"/>
          <w:b w:val="1"/>
          <w:color w:val="93c4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(</w:t>
      </w: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Nome da área responsável</w:t>
      </w: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 pela definição da política – Ex.: Diretoria Financeira, Contas a Pagar,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ÁREAS ENVOLVIDAS:</w:t>
      </w:r>
    </w:p>
    <w:p w:rsidR="00000000" w:rsidDel="00000000" w:rsidP="00000000" w:rsidRDefault="00000000" w:rsidRPr="00000000" w14:paraId="0000000A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Todas as unidades, regionais e áreas corporativas pertencentes à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(NOME DA EMPRESA)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DEFINIÇÕES-CHAVE: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Despesas corporativas: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Despesas realizadas pelos colaboradores da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(NOME DA EMPRESA)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durante a realização de atividades em nome da organização. 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Deslocamento: </w:t>
      </w:r>
    </w:p>
    <w:p w:rsidR="00000000" w:rsidDel="00000000" w:rsidP="00000000" w:rsidRDefault="00000000" w:rsidRPr="00000000" w14:paraId="0000000F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Viagem cujo adiantamento e prestação de contas são necessários, e que não necessariamente demandam serviços aéreos e/ou hospedagem. 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Solicitação: </w:t>
      </w:r>
    </w:p>
    <w:p w:rsidR="00000000" w:rsidDel="00000000" w:rsidP="00000000" w:rsidRDefault="00000000" w:rsidRPr="00000000" w14:paraId="00000011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Processo em que o colaborador realiza o planejamento do roteiro e solicita todos os serviços que serão necessários para a sua viagem (aéreo / hospedagem / transporte / adiantamento / etc.).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Aprovação</w:t>
      </w:r>
      <w:r w:rsidDel="00000000" w:rsidR="00000000" w:rsidRPr="00000000">
        <w:rPr>
          <w:rFonts w:ascii="Nunito Sans" w:cs="Nunito Sans" w:eastAsia="Nunito Sans" w:hAnsi="Nunito Sa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Níveis de aprovação exigidos conforme esta Política de Viagens.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Responsável pelo Centro de Custo: </w:t>
      </w:r>
    </w:p>
    <w:p w:rsidR="00000000" w:rsidDel="00000000" w:rsidP="00000000" w:rsidRDefault="00000000" w:rsidRPr="00000000" w14:paraId="00000015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Aprovador de qualquer despesa relacionada à área de sua responsabilidade.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 Sistema de Viagens: </w:t>
      </w:r>
    </w:p>
    <w:p w:rsidR="00000000" w:rsidDel="00000000" w:rsidP="00000000" w:rsidRDefault="00000000" w:rsidRPr="00000000" w14:paraId="00000017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Centro de controle das solicitações, aprovações, gestão de recursos, controle de orçamento e prestação de contas relacionadas às viagens corporativas.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4.8. Usuários/Viajantes: </w:t>
      </w:r>
    </w:p>
    <w:p w:rsidR="00000000" w:rsidDel="00000000" w:rsidP="00000000" w:rsidRDefault="00000000" w:rsidRPr="00000000" w14:paraId="00000019">
      <w:pPr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Colaboradores que acessam o sistema de viagens para solicitar reservas, adiantamentos e prestação de contas.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4.9. Usuários/Aprovadores: </w:t>
      </w:r>
    </w:p>
    <w:p w:rsidR="00000000" w:rsidDel="00000000" w:rsidP="00000000" w:rsidRDefault="00000000" w:rsidRPr="00000000" w14:paraId="0000001B">
      <w:pPr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Gestores que possuem em suas respectivas áreas outros viajantes que necessitem liberação de orçamento para viagens e deslocamentos.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4.10. App para Prestação de Contas: </w:t>
      </w:r>
    </w:p>
    <w:p w:rsidR="00000000" w:rsidDel="00000000" w:rsidP="00000000" w:rsidRDefault="00000000" w:rsidRPr="00000000" w14:paraId="0000001D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Aplicativo móvel destinado à digitalização e lançamento de despesas.</w:t>
      </w:r>
    </w:p>
    <w:p w:rsidR="00000000" w:rsidDel="00000000" w:rsidP="00000000" w:rsidRDefault="00000000" w:rsidRPr="00000000" w14:paraId="0000001E">
      <w:pPr>
        <w:ind w:firstLine="72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Nunito Sans" w:cs="Nunito Sans" w:eastAsia="Nunito Sans" w:hAnsi="Nunito Sans"/>
          <w:sz w:val="24"/>
          <w:szCs w:val="24"/>
          <w:shd w:fill="fe2b8f" w:val="clear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shd w:fill="fe2b8f" w:val="clear"/>
          <w:rtl w:val="0"/>
        </w:rPr>
        <w:t xml:space="preserve">(INCLUIR TODOS OS DEMAIS ITENS QUE FAÇAM PARTE DA REALIDADE DA ORGANIZAÇÃO)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RESPONSABILIDADES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COLABORADOR SOLICITANTE/VIAJANTE: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Fazer o planejamento da viagem, optando pelas melhores alternativas de custos e respeitando a política de viagens.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Utilizar as ferramentas da empresa para solicitação e prestação de contas.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Informar o planejando e obter aprovação no sistema de viagens, conforme determinado nesta política, solicitar o adiantamento de viagem e apresentar toda a documentação necessária para a prestação de contas das despesas realizadas.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Prestar contas da viagem realizada, pelo aplicativo web ou mobile.</w:t>
      </w:r>
    </w:p>
    <w:p w:rsidR="00000000" w:rsidDel="00000000" w:rsidP="00000000" w:rsidRDefault="00000000" w:rsidRPr="00000000" w14:paraId="00000026">
      <w:pPr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Nunito Sans" w:cs="Nunito Sans" w:eastAsia="Nunito Sans" w:hAnsi="Nunito Sans"/>
          <w:sz w:val="20"/>
          <w:szCs w:val="20"/>
          <w:shd w:fill="fe2b8f" w:val="clear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shd w:fill="fe2b8f" w:val="clear"/>
          <w:rtl w:val="0"/>
        </w:rPr>
        <w:t xml:space="preserve">(INCLUIR TODOS OS DEMAIS ITENS QUE FAÇAM PARTE DA REALIDADE DA ORGANIZAÇÃO)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DEMAIS ÁREAS ENVOLVIDAS:</w:t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Cumprir com as atividades estabelecidas neste documento.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1899799</wp:posOffset>
            </wp:positionH>
            <wp:positionV relativeFrom="page">
              <wp:posOffset>12319000</wp:posOffset>
            </wp:positionV>
            <wp:extent cx="6872475" cy="781367"/>
            <wp:effectExtent b="0" l="0" r="0" t="0"/>
            <wp:wrapTopAndBottom distB="0" dist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4639" l="0" r="0" t="2766"/>
                    <a:stretch>
                      <a:fillRect/>
                    </a:stretch>
                  </pic:blipFill>
                  <pic:spPr>
                    <a:xfrm>
                      <a:off x="0" y="0"/>
                      <a:ext cx="6872475" cy="7813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Comunicar ao gestor as necessidades de revisão e atualização do conteúdo estabelecido neste procedimento.</w:t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4sinio" w:id="16"/>
      <w:bookmarkEnd w:id="16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 DIRETORIA DE FINANÇAS: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Gerenciar relatórios, controles de adiantamentos e prestações de contas.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Realizar as conferências, reembolsos e acertos resultantes das viagens e deslocamentos.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Padronizar o sistema de acordo com a política de viagens e de despesas corporativas. </w:t>
      </w:r>
    </w:p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 CONTAS A PAGAR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Gerenciar os relatórios do sistema de viagem para acompanhar e validar os pagamentos de hospedagem, locação de veículo e passagens aéreas.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Realizar a busca por novos fornecedores/agências que possam constituir a gestão da multi-cotação.</w:t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z337ya" w:id="18"/>
      <w:bookmarkEnd w:id="18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DESCRIÇÃO DO PROCESSO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j2qqm3" w:id="19"/>
      <w:bookmarkEnd w:id="19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 SOLICITAÇÃO | APROVAÇÃO DE VIAGENS: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As viagens devem ocorrer de acordo com a demanda da organização e se houver disponibilidade de orçamento. É dever do gestor de cada área/centro de custo acompanhar o orçamento de viagens, avaliar a sua real necessidade e estudar a possibilidade de videoconferência.</w:t>
      </w:r>
    </w:p>
    <w:p w:rsidR="00000000" w:rsidDel="00000000" w:rsidP="00000000" w:rsidRDefault="00000000" w:rsidRPr="00000000" w14:paraId="00000036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111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 área de Contas a Pagar é responsável pelas agências de viagens homologadas pela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(NOME DA EMPRESA)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. É responsabilidade desta área fazer gestão com multi-cotações, quando necessário.</w:t>
      </w:r>
    </w:p>
    <w:p w:rsidR="00000000" w:rsidDel="00000000" w:rsidP="00000000" w:rsidRDefault="00000000" w:rsidRPr="00000000" w14:paraId="00000038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A(s) agência(s) de viagem(s) homologadas devem atender a todos os colaboradores e as áreas internas da empresa, com suporte e atendimento aos viajantes.</w:t>
      </w:r>
    </w:p>
    <w:p w:rsidR="00000000" w:rsidDel="00000000" w:rsidP="00000000" w:rsidRDefault="00000000" w:rsidRPr="00000000" w14:paraId="0000003A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colaborador deve planejar sua viagem, sempre indicando seu roteiro,  visando atingir os melhores resultados para a empresa.</w:t>
      </w:r>
    </w:p>
    <w:p w:rsidR="00000000" w:rsidDel="00000000" w:rsidP="00000000" w:rsidRDefault="00000000" w:rsidRPr="00000000" w14:paraId="0000003C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As solicitações de viagens, compras de passagens, reservas de hospedagens e/ou locação de veículo devem ser efetuadas de modo a atender uma antecedência mínima de 14 dias* entre a emissão dos bilhetes/vouchers e a data efetiva da viagem.</w:t>
      </w:r>
    </w:p>
    <w:p w:rsidR="00000000" w:rsidDel="00000000" w:rsidP="00000000" w:rsidRDefault="00000000" w:rsidRPr="00000000" w14:paraId="0000003E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Solicitações fora do prazo de antecedência, serão submetidas à aprovação do(s) gestor(es) das áreas, mediante justificativa.</w:t>
      </w:r>
    </w:p>
    <w:p w:rsidR="00000000" w:rsidDel="00000000" w:rsidP="00000000" w:rsidRDefault="00000000" w:rsidRPr="00000000" w14:paraId="00000040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111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Colaboradores terceiros sob ofício das atividades da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(NOME DA EMPRESA)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entrarão como elegíveis à política de viagens.</w:t>
      </w:r>
    </w:p>
    <w:p w:rsidR="00000000" w:rsidDel="00000000" w:rsidP="00000000" w:rsidRDefault="00000000" w:rsidRPr="00000000" w14:paraId="00000042">
      <w:pPr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Nunito Sans" w:cs="Nunito Sans" w:eastAsia="Nunito Sans" w:hAnsi="Nunito Sans"/>
          <w:sz w:val="24"/>
          <w:szCs w:val="24"/>
          <w:shd w:fill="fe2b8f" w:val="clear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shd w:fill="fe2b8f" w:val="clear"/>
          <w:rtl w:val="0"/>
        </w:rPr>
        <w:t xml:space="preserve">(INCLUIR TODOS OS DEMAIS ITENS QUE FAÇAM PARTE DA REALIDADE DA ORGANIZAÇÃO)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 PASSAGENS AÉREAS: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 escolha da passagem aérea deve ser avaliada dentro de faixa de horário de duas horas anteriores ao horário desejado, optando sempre pelo menor custo dentro da faixa.</w:t>
      </w:r>
    </w:p>
    <w:p w:rsidR="00000000" w:rsidDel="00000000" w:rsidP="00000000" w:rsidRDefault="00000000" w:rsidRPr="00000000" w14:paraId="00000046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111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Para viagens internacionais, colaboradores em geral, exceto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(INSERIR EXCEÇÃO DE CARGOS Ex: CEOs, Diretores, etc)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, deverão selecionar obrigatoriamente classe econômica, ficando vetada a opção por classe executiva ou superior.</w:t>
      </w:r>
    </w:p>
    <w:p w:rsidR="00000000" w:rsidDel="00000000" w:rsidP="00000000" w:rsidRDefault="00000000" w:rsidRPr="00000000" w14:paraId="00000048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É recomendada a solicitação de passagens aéreas, quando forem selecionados trechos de ida e volta, dentro da mesma companhia, para evitar cobrança de duplo fee de pagamento à Agência, no entanto, deve-se avaliar se o valor combinado dos dois trechos na mesma companhia não seja superior à combinação de companhias diferentes.</w:t>
      </w:r>
    </w:p>
    <w:p w:rsidR="00000000" w:rsidDel="00000000" w:rsidP="00000000" w:rsidRDefault="00000000" w:rsidRPr="00000000" w14:paraId="0000004A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Limita-se a solicitação de passagens no mesmo voo a até 5 (cinco) pessoas da mesma Diretoria, por questões de gestão de riscos. A responsabilidade pelo controle é do Diretor responsável pela área.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Necessidade de cancelamento ou alteração de passagens devem respeitar o período de 5 dias de antecedência. Caso sejam feitas com antecedência menor, serão autorizadas mediante aprovação do Diretor.</w:t>
      </w:r>
    </w:p>
    <w:p w:rsidR="00000000" w:rsidDel="00000000" w:rsidP="00000000" w:rsidRDefault="00000000" w:rsidRPr="00000000" w14:paraId="0000004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 HOSPEDAGEM: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As solicitações de hospedagem também deverão ser via sistema e baseadas nos acordos disponíveis e sugestões de hospedagens preferenciais da organização.</w:t>
      </w:r>
    </w:p>
    <w:p w:rsidR="00000000" w:rsidDel="00000000" w:rsidP="00000000" w:rsidRDefault="00000000" w:rsidRPr="00000000" w14:paraId="0000004F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Poderão ser solicitados serviços de hospedagem para cidades que não possuam hotéis registrados no Booking da agência. Para esta necessidade, o viajante solicitará na seção “outros serviços”. </w:t>
      </w:r>
    </w:p>
    <w:p w:rsidR="00000000" w:rsidDel="00000000" w:rsidP="00000000" w:rsidRDefault="00000000" w:rsidRPr="00000000" w14:paraId="00000051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colaborador deverá solicitar a hospedagem no menor custo oferecido observando o orçamento de viagens.</w:t>
      </w:r>
    </w:p>
    <w:p w:rsidR="00000000" w:rsidDel="00000000" w:rsidP="00000000" w:rsidRDefault="00000000" w:rsidRPr="00000000" w14:paraId="00000053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111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Os colaboradores em geral, exceto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(INSERIR EXCEÇÃO DE CARGOS Ex: CEOs, Diretores, etc.)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, deverão selecionar obrigatoriamente classe econômica de hospedagem (standard ou superior, caso o hotel não ofereça standard) e quarto individual, não sendo permitida a opção por classe luxo ou superiores.</w:t>
      </w:r>
    </w:p>
    <w:p w:rsidR="00000000" w:rsidDel="00000000" w:rsidP="00000000" w:rsidRDefault="00000000" w:rsidRPr="00000000" w14:paraId="00000055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Caso o colaborador encontre problemas na hospedagem, poderá avaliar o hotel diretamente pelo sistema de gestão de viagens da organização, para possíveis providências e para retirada do hotel da base de dados. 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Os cancelamentos de reserva de hospedagem deverão ser realizados em até 48 horas de antecedência, evitando pagamento de “No Show”.</w:t>
      </w:r>
    </w:p>
    <w:p w:rsidR="00000000" w:rsidDel="00000000" w:rsidP="00000000" w:rsidRDefault="00000000" w:rsidRPr="00000000" w14:paraId="00000058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rtl w:val="0"/>
        </w:rPr>
        <w:t xml:space="preserve">(INCLUIR TODOS OS DEMAIS ITENS QUE FAÇAM PARTE DA REALIDADE DA ORGANIZAÇÃO)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VEÍCULOS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72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ci93xb" w:id="23"/>
      <w:bookmarkEnd w:id="23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6.4.1 ALUGUEL DE VEÍCULOS COM LOCADORAS CREDENCIADAS</w:t>
      </w:r>
    </w:p>
    <w:p w:rsidR="00000000" w:rsidDel="00000000" w:rsidP="00000000" w:rsidRDefault="00000000" w:rsidRPr="00000000" w14:paraId="0000005C">
      <w:pPr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colaborador deverá solicitar o aluguel do veículo somente via sistema, não sendo permitida a solicitação por quaisquer outros meios.</w:t>
      </w:r>
    </w:p>
    <w:p w:rsidR="00000000" w:rsidDel="00000000" w:rsidP="00000000" w:rsidRDefault="00000000" w:rsidRPr="00000000" w14:paraId="0000005E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Se houver até 4 (quatro) colaboradores na mesma viagem com mesmo destino no trajeto terrestre, deve-se optar pelo aluguel de apenas 1 (um) veículo.</w:t>
      </w:r>
    </w:p>
    <w:p w:rsidR="00000000" w:rsidDel="00000000" w:rsidP="00000000" w:rsidRDefault="00000000" w:rsidRPr="00000000" w14:paraId="00000060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padrão do veículo solicitado deve obedecer aos critérios descritos a seguir:</w:t>
      </w:r>
    </w:p>
    <w:p w:rsidR="00000000" w:rsidDel="00000000" w:rsidP="00000000" w:rsidRDefault="00000000" w:rsidRPr="00000000" w14:paraId="00000062">
      <w:pPr>
        <w:ind w:left="720" w:firstLine="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1395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(INSERIR CARGOS)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: veículo até categoria luxo;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1395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rtl w:val="0"/>
        </w:rPr>
        <w:t xml:space="preserve">Demais colaboradores: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veículo motorização 1.0 com ar-condicionado, direção hidráulica/elétrica. Exceções deverão ser submetidas à aprovação do Diretor da Área.</w:t>
      </w:r>
    </w:p>
    <w:p w:rsidR="00000000" w:rsidDel="00000000" w:rsidP="00000000" w:rsidRDefault="00000000" w:rsidRPr="00000000" w14:paraId="00000065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Deve ser contratado o serviço de seguro oferecido pela Empresa Locadora. Na eventualidade da ocorrência de colisão, incêndio ou roubo, o colaborador deve providenciar o Boletim de Ocorrência policial e comunicar imediatamente à Empresa Locadora.</w:t>
      </w:r>
    </w:p>
    <w:p w:rsidR="00000000" w:rsidDel="00000000" w:rsidP="00000000" w:rsidRDefault="00000000" w:rsidRPr="00000000" w14:paraId="00000067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Os colaboradores que efetuarem locações de veículos devem entregar o veículo à Empresa Locadora no prazo e condições acordadas no Contrato de Locação. Caso haja necessidade de reprogramação, o colaborador deverá entrar em contato com a agência para providências de renovação.</w:t>
      </w:r>
    </w:p>
    <w:p w:rsidR="00000000" w:rsidDel="00000000" w:rsidP="00000000" w:rsidRDefault="00000000" w:rsidRPr="00000000" w14:paraId="00000069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Pelas condições do contrato, os veículos deverão ser devolvidos com tanque cheio e com lavagem realizada.</w:t>
      </w:r>
    </w:p>
    <w:p w:rsidR="00000000" w:rsidDel="00000000" w:rsidP="00000000" w:rsidRDefault="00000000" w:rsidRPr="00000000" w14:paraId="0000006B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470" w:firstLine="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rtl w:val="0"/>
        </w:rPr>
        <w:t xml:space="preserve">Observação: O reembolso de despesas de combustível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deverá ser feito via prestação de contas, pelo sistema na web ou no aplicativo móvel disponibilizado pela empresa, mediante cupom ou nota fiscal do posto de gasolina, discriminando o serviço de abastecimento na nota. Não serão aceitos controles manuais e/ou em planilhas para reembolso de quilometragem.</w:t>
      </w:r>
    </w:p>
    <w:p w:rsidR="00000000" w:rsidDel="00000000" w:rsidP="00000000" w:rsidRDefault="00000000" w:rsidRPr="00000000" w14:paraId="0000006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05" w:right="0" w:firstLine="315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whwml4" w:id="24"/>
      <w:bookmarkEnd w:id="24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6.4.2 TÁXI </w:t>
      </w:r>
    </w:p>
    <w:p w:rsidR="00000000" w:rsidDel="00000000" w:rsidP="00000000" w:rsidRDefault="00000000" w:rsidRPr="00000000" w14:paraId="0000006E">
      <w:pPr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Todos os colaboradores devem usar táxi da categoria comum e/ou UBER For Business.</w:t>
      </w:r>
    </w:p>
    <w:p w:rsidR="00000000" w:rsidDel="00000000" w:rsidP="00000000" w:rsidRDefault="00000000" w:rsidRPr="00000000" w14:paraId="00000070">
      <w:p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Será permitida a contratação de serviços de táxi executivo somente quando o valor do trajeto for inferior ao custo do táxi comum.</w:t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Nunito Sans" w:cs="Nunito Sans" w:eastAsia="Nunito Sans" w:hAnsi="Nunito Sans"/>
          <w:b w:val="1"/>
          <w:sz w:val="24"/>
          <w:szCs w:val="24"/>
          <w:shd w:fill="fe2b8f" w:val="clear"/>
        </w:rPr>
      </w:pPr>
      <w:r w:rsidDel="00000000" w:rsidR="00000000" w:rsidRPr="00000000">
        <w:rPr>
          <w:rFonts w:ascii="Nunito Sans" w:cs="Nunito Sans" w:eastAsia="Nunito Sans" w:hAnsi="Nunito Sans"/>
          <w:b w:val="1"/>
          <w:sz w:val="20"/>
          <w:szCs w:val="20"/>
          <w:shd w:fill="fe2b8f" w:val="clear"/>
          <w:rtl w:val="0"/>
        </w:rPr>
        <w:t xml:space="preserve">(INCLUIR LIMITES, 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05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bn6wsx" w:id="25"/>
      <w:bookmarkEnd w:id="25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6.4.3 RESERVA | AGENDAMENTO DE FROTA PRÓPRIA</w:t>
      </w:r>
    </w:p>
    <w:p w:rsidR="00000000" w:rsidDel="00000000" w:rsidP="00000000" w:rsidRDefault="00000000" w:rsidRPr="00000000" w14:paraId="00000075">
      <w:pPr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agendamento e reserva de veículos da empresa deverá ser realizado no sistema, sendo necessário indicação do roteiro.</w:t>
      </w:r>
    </w:p>
    <w:p w:rsidR="00000000" w:rsidDel="00000000" w:rsidP="00000000" w:rsidRDefault="00000000" w:rsidRPr="00000000" w14:paraId="0000007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05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sh70q" w:id="26"/>
      <w:bookmarkEnd w:id="26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6.4.4 CARRO PARTICULAR</w:t>
      </w:r>
    </w:p>
    <w:p w:rsidR="00000000" w:rsidDel="00000000" w:rsidP="00000000" w:rsidRDefault="00000000" w:rsidRPr="00000000" w14:paraId="00000078">
      <w:pPr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111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Quando o funcionário utilizar seu carro próprio para viagem/deslocamento, será reembolsado mediante registro de trajeto no aplicativo móvel, conforme a 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u w:val="single"/>
          <w:rtl w:val="0"/>
        </w:rPr>
        <w:t xml:space="preserve">Política de Reembolso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as4poj" w:id="27"/>
      <w:bookmarkEnd w:id="27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SOLICITAÇÃO DO ADIANTAMENTO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pedido de adiantamento deve ser efetuado através da solicitação via sistema, com no mínimo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XXX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dias úteis de antecedência à data de início da viagem e deverá seguir o fluxo de aprovação.</w:t>
      </w:r>
    </w:p>
    <w:p w:rsidR="00000000" w:rsidDel="00000000" w:rsidP="00000000" w:rsidRDefault="00000000" w:rsidRPr="00000000" w14:paraId="0000007C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valor do adiantamento deverá ser compatível com os limites de despesas definidos no orçamento e o período de duração da viagem.</w:t>
      </w:r>
    </w:p>
    <w:p w:rsidR="00000000" w:rsidDel="00000000" w:rsidP="00000000" w:rsidRDefault="00000000" w:rsidRPr="00000000" w14:paraId="0000007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pxezwc" w:id="28"/>
      <w:bookmarkEnd w:id="28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DESPESAS COM REFEIÇÕES</w:t>
      </w:r>
    </w:p>
    <w:p w:rsidR="00000000" w:rsidDel="00000000" w:rsidP="00000000" w:rsidRDefault="00000000" w:rsidRPr="00000000" w14:paraId="0000007F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As despesas de refeições durante o processo de viagem deverão ser apresentadas através do sistema, tendo anexo dos comprovantes nos seguintes critérios, conforme a 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u w:val="single"/>
          <w:rtl w:val="0"/>
        </w:rPr>
        <w:t xml:space="preserve">Política de Reembolso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0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limite é de 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shd w:fill="fe2b8f" w:val="clear"/>
          <w:rtl w:val="0"/>
        </w:rPr>
        <w:t xml:space="preserve">R$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XX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(cidades capitais) e 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shd w:fill="fe2b8f" w:val="clear"/>
          <w:rtl w:val="0"/>
        </w:rPr>
        <w:t xml:space="preserve">R$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XX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(demais cidades) por pessoa, para o almoço ou jantar.</w:t>
      </w:r>
    </w:p>
    <w:p w:rsidR="00000000" w:rsidDel="00000000" w:rsidP="00000000" w:rsidRDefault="00000000" w:rsidRPr="00000000" w14:paraId="00000082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Para viagens internacionais o limite será de </w:t>
      </w:r>
      <w:r w:rsidDel="00000000" w:rsidR="00000000" w:rsidRPr="00000000">
        <w:rPr>
          <w:rFonts w:ascii="Nunito Sans" w:cs="Nunito Sans" w:eastAsia="Nunito Sans" w:hAnsi="Nunito Sans"/>
          <w:b w:val="1"/>
          <w:sz w:val="24"/>
          <w:szCs w:val="24"/>
          <w:shd w:fill="fe2b8f" w:val="clear"/>
          <w:rtl w:val="0"/>
        </w:rPr>
        <w:t xml:space="preserve">US$XX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 por pessoa, seja para almoço ou jantar.</w:t>
      </w:r>
    </w:p>
    <w:p w:rsidR="00000000" w:rsidDel="00000000" w:rsidP="00000000" w:rsidRDefault="00000000" w:rsidRPr="00000000" w14:paraId="00000084">
      <w:pPr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jc w:val="both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Bebidas alcoólicas e guloseimas não serão reembolsadas.</w:t>
      </w:r>
    </w:p>
    <w:p w:rsidR="00000000" w:rsidDel="00000000" w:rsidP="00000000" w:rsidRDefault="00000000" w:rsidRPr="00000000" w14:paraId="0000008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9x2ik5" w:id="29"/>
      <w:bookmarkEnd w:id="29"/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ACEITE DA POLÍTICA</w:t>
      </w:r>
    </w:p>
    <w:p w:rsidR="00000000" w:rsidDel="00000000" w:rsidP="00000000" w:rsidRDefault="00000000" w:rsidRPr="00000000" w14:paraId="00000087">
      <w:pPr>
        <w:jc w:val="both"/>
        <w:rPr>
          <w:rFonts w:ascii="Nunito Sans" w:cs="Nunito Sans" w:eastAsia="Nunito Sans" w:hAnsi="Nunito Sans"/>
          <w:b w:val="1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O usuário dá o aceite na política no momento inicial de uso do sistema. As informações e regras sobre reembolsos advindos de viagens encontram-se na Política de Reembolsos de Despesas Corporativas.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1133" w:top="566" w:left="1133" w:right="1133" w:header="113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pág.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right"/>
      <w:rPr/>
    </w:pPr>
    <w:r w:rsidDel="00000000" w:rsidR="00000000" w:rsidRPr="00000000">
      <w:rPr/>
      <w:drawing>
        <wp:inline distB="0" distT="0" distL="0" distR="0">
          <wp:extent cx="1371486" cy="514734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486" cy="5147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jc w:val="center"/>
      <w:rPr>
        <w:color w:val="00206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center"/>
      <w:rPr>
        <w:color w:val="002060"/>
        <w:sz w:val="18"/>
        <w:szCs w:val="18"/>
      </w:rPr>
    </w:pPr>
    <w:r w:rsidDel="00000000" w:rsidR="00000000" w:rsidRPr="00000000">
      <w:rPr>
        <w:color w:val="002060"/>
        <w:sz w:val="18"/>
        <w:szCs w:val="18"/>
      </w:rPr>
      <w:drawing>
        <wp:inline distB="114300" distT="114300" distL="114300" distR="114300">
          <wp:extent cx="1192050" cy="233032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050" cy="2330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jc w:val="center"/>
      <w:rPr>
        <w:color w:val="00206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firstLine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F70D4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70D43"/>
  </w:style>
  <w:style w:type="paragraph" w:styleId="Rodap">
    <w:name w:val="footer"/>
    <w:basedOn w:val="Normal"/>
    <w:link w:val="RodapChar"/>
    <w:uiPriority w:val="99"/>
    <w:unhideWhenUsed w:val="1"/>
    <w:rsid w:val="00F70D4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70D43"/>
  </w:style>
  <w:style w:type="character" w:styleId="Nmerodepgina">
    <w:name w:val="page number"/>
    <w:basedOn w:val="Fontepargpadro"/>
    <w:uiPriority w:val="99"/>
    <w:semiHidden w:val="1"/>
    <w:unhideWhenUsed w:val="1"/>
    <w:rsid w:val="002B3E0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unitoSans-regular.ttf"/><Relationship Id="rId6" Type="http://schemas.openxmlformats.org/officeDocument/2006/relationships/font" Target="fonts/NunitoSans-bold.ttf"/><Relationship Id="rId7" Type="http://schemas.openxmlformats.org/officeDocument/2006/relationships/font" Target="fonts/NunitoSans-italic.ttf"/><Relationship Id="rId8" Type="http://schemas.openxmlformats.org/officeDocument/2006/relationships/font" Target="fonts/Nuni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BJGqITwermKfbMfUUHYTmZ/7lg==">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2021-09-23T14:47:00Z</dcterms:created>
</cp:coreProperties>
</file>